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20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contextualSpacing/>
        <w:ind w:firstLine="709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eastAsia="Calibri" w:cs="Segoe UI"/>
        </w:rPr>
        <w:t xml:space="preserve">Установление границ земельных участков</w:t>
      </w:r>
      <w:r>
        <w:rPr>
          <w:rFonts w:ascii="Segoe UI" w:hAnsi="Segoe UI" w:eastAsia="Calibri" w:cs="Segoe UI"/>
        </w:rPr>
        <w:t xml:space="preserve">»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eastAsia="Calibri" w:cs="Segoe UI"/>
        </w:rPr>
        <w:t xml:space="preserve">консультирует межмуниципальный отдел по Сегежскому, Кемскому и Беломорскому районам Управления Росреестра по Республике Карелия.</w:t>
      </w:r>
      <w:r>
        <w:rPr>
          <w:rFonts w:ascii="Segoe UI" w:hAnsi="Segoe UI" w:eastAsia="Calibr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(81434) 5-22-58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ind w:firstLine="851"/>
        <w:jc w:val="both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</w:instrText>
      </w:r>
      <w:r>
        <w:instrText xml:space="preserve">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22</cp:revision>
  <dcterms:created xsi:type="dcterms:W3CDTF">2022-11-22T11:18:00Z</dcterms:created>
  <dcterms:modified xsi:type="dcterms:W3CDTF">2025-01-14T12:58:13Z</dcterms:modified>
  <cp:version>983040</cp:version>
</cp:coreProperties>
</file>