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Карельский Росреестр провел комплексную оценку состояния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нивелирных пунктов</w:t>
      </w:r>
      <w:r>
        <w:rPr>
          <w:b/>
          <w:sz w:val="28"/>
          <w:szCs w:val="28"/>
        </w:rPr>
      </w:r>
      <w:r/>
    </w:p>
    <w:p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Республики Карелия более 7 тысяч пунктов государственной нивелирной сети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Они незаменимы для науки, экономики и </w:t>
      </w:r>
      <w:r>
        <w:rPr>
          <w:sz w:val="28"/>
          <w:szCs w:val="28"/>
        </w:rPr>
        <w:t xml:space="preserve">других сфер деятеятельности</w:t>
      </w:r>
      <w:r>
        <w:rPr>
          <w:sz w:val="28"/>
          <w:szCs w:val="28"/>
        </w:rPr>
        <w:t xml:space="preserve">, поэтому специалисты Росреестра регулярно следят за их состоянием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в этом году </w:t>
      </w:r>
      <w:r>
        <w:rPr>
          <w:sz w:val="28"/>
          <w:szCs w:val="28"/>
        </w:rPr>
        <w:t xml:space="preserve">Карельский Росреестр </w:t>
      </w:r>
      <w:r>
        <w:rPr>
          <w:sz w:val="28"/>
          <w:szCs w:val="28"/>
        </w:rPr>
        <w:t xml:space="preserve">уделил поселку Гирвас. Это место популярно у </w:t>
      </w:r>
      <w:r>
        <w:rPr>
          <w:sz w:val="28"/>
          <w:szCs w:val="28"/>
        </w:rPr>
        <w:t xml:space="preserve">жителей и гостей республики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благодаря древнему </w:t>
      </w:r>
      <w:r>
        <w:rPr>
          <w:sz w:val="28"/>
          <w:szCs w:val="28"/>
        </w:rPr>
        <w:t xml:space="preserve">палео</w:t>
      </w:r>
      <w:r>
        <w:rPr>
          <w:sz w:val="28"/>
          <w:szCs w:val="28"/>
        </w:rPr>
        <w:t xml:space="preserve">вулкану</w:t>
      </w:r>
      <w:r>
        <w:rPr>
          <w:sz w:val="28"/>
          <w:szCs w:val="28"/>
        </w:rPr>
        <w:t xml:space="preserve">, а также наличию иных объектов</w:t>
      </w:r>
      <w:r>
        <w:rPr>
          <w:sz w:val="28"/>
          <w:szCs w:val="28"/>
        </w:rPr>
        <w:t xml:space="preserve"> туристического интереса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отрудникам Росреестра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территория </w:t>
      </w:r>
      <w:r>
        <w:rPr>
          <w:sz w:val="28"/>
          <w:szCs w:val="28"/>
        </w:rPr>
        <w:t xml:space="preserve">посел</w:t>
      </w:r>
      <w:r>
        <w:rPr>
          <w:sz w:val="28"/>
          <w:szCs w:val="28"/>
        </w:rPr>
        <w:t xml:space="preserve">ка </w:t>
      </w:r>
      <w:r>
        <w:rPr>
          <w:sz w:val="28"/>
          <w:szCs w:val="28"/>
        </w:rPr>
        <w:t xml:space="preserve">в первую очередь </w:t>
      </w:r>
      <w:r>
        <w:rPr>
          <w:sz w:val="28"/>
          <w:szCs w:val="28"/>
        </w:rPr>
        <w:t xml:space="preserve">интересна</w:t>
      </w:r>
      <w:r>
        <w:rPr>
          <w:sz w:val="28"/>
          <w:szCs w:val="28"/>
        </w:rPr>
        <w:t xml:space="preserve"> наличием </w:t>
      </w:r>
      <w:r>
        <w:rPr>
          <w:sz w:val="28"/>
          <w:szCs w:val="28"/>
        </w:rPr>
        <w:t xml:space="preserve">нестандартно </w:t>
      </w:r>
      <w:r>
        <w:rPr>
          <w:sz w:val="28"/>
          <w:szCs w:val="28"/>
        </w:rPr>
        <w:t xml:space="preserve">большого количества пунктов государственной нивелирной сети, созданных </w:t>
      </w:r>
      <w:r>
        <w:rPr>
          <w:sz w:val="28"/>
          <w:szCs w:val="28"/>
        </w:rPr>
        <w:t xml:space="preserve">в основном Институтом «</w:t>
      </w:r>
      <w:r>
        <w:rPr>
          <w:sz w:val="28"/>
          <w:szCs w:val="28"/>
        </w:rPr>
        <w:t xml:space="preserve">Карелгражданпроект</w:t>
      </w:r>
      <w:r>
        <w:rPr>
          <w:sz w:val="28"/>
          <w:szCs w:val="28"/>
        </w:rPr>
        <w:t xml:space="preserve">» в 1982 году.</w:t>
      </w:r>
      <w:r>
        <w:rPr>
          <w:sz w:val="28"/>
          <w:szCs w:val="28"/>
        </w:rPr>
        <w:t xml:space="preserve"> Увидеть </w:t>
      </w:r>
      <w:r>
        <w:rPr>
          <w:sz w:val="28"/>
          <w:szCs w:val="28"/>
        </w:rPr>
        <w:t xml:space="preserve">эту количественную составляющую</w:t>
      </w:r>
      <w:r>
        <w:rPr>
          <w:sz w:val="28"/>
          <w:szCs w:val="28"/>
        </w:rPr>
        <w:t xml:space="preserve"> можно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используя Федеральн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портал пространственных данных.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текущем году Карельский Росреестр провел обследование </w:t>
      </w:r>
      <w:r>
        <w:rPr>
          <w:sz w:val="28"/>
          <w:szCs w:val="28"/>
        </w:rPr>
        <w:t xml:space="preserve">40 </w:t>
      </w:r>
      <w:r>
        <w:rPr>
          <w:sz w:val="28"/>
          <w:szCs w:val="28"/>
        </w:rPr>
        <w:t xml:space="preserve">пунктов государственной нивелирной сети</w:t>
      </w:r>
      <w:r>
        <w:rPr>
          <w:sz w:val="28"/>
          <w:szCs w:val="28"/>
        </w:rPr>
        <w:t xml:space="preserve">, заложенных </w:t>
      </w:r>
      <w:r>
        <w:rPr>
          <w:sz w:val="28"/>
          <w:szCs w:val="28"/>
        </w:rPr>
        <w:t xml:space="preserve">в поселке, преследуя помимо цели непосредственного обследования также интерес</w:t>
      </w:r>
      <w:r>
        <w:rPr>
          <w:sz w:val="28"/>
          <w:szCs w:val="28"/>
        </w:rPr>
        <w:t xml:space="preserve"> максимально</w:t>
      </w:r>
      <w:r>
        <w:rPr>
          <w:sz w:val="28"/>
          <w:szCs w:val="28"/>
        </w:rPr>
        <w:t xml:space="preserve"> оценить состояние пунктов в пределах локальной территории с учетом </w:t>
      </w:r>
      <w:r>
        <w:rPr>
          <w:sz w:val="28"/>
          <w:szCs w:val="28"/>
        </w:rPr>
        <w:t xml:space="preserve">влияния действовавших на протяжении </w:t>
      </w:r>
      <w:r>
        <w:rPr>
          <w:sz w:val="28"/>
          <w:szCs w:val="28"/>
        </w:rPr>
        <w:t xml:space="preserve">более 40</w:t>
      </w:r>
      <w:r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факторов </w:t>
      </w:r>
      <w:r>
        <w:rPr>
          <w:sz w:val="28"/>
          <w:szCs w:val="28"/>
        </w:rPr>
        <w:t xml:space="preserve">активной </w:t>
      </w:r>
      <w:r>
        <w:rPr>
          <w:sz w:val="28"/>
          <w:szCs w:val="28"/>
        </w:rPr>
        <w:t xml:space="preserve">хозяйственной деятельности, присущей населенному пункту.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проведенного обследования по</w:t>
      </w:r>
      <w:r>
        <w:rPr>
          <w:sz w:val="28"/>
          <w:szCs w:val="28"/>
        </w:rPr>
        <w:t xml:space="preserve">казали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почти 100%-</w:t>
      </w:r>
      <w:r>
        <w:rPr>
          <w:sz w:val="28"/>
          <w:szCs w:val="28"/>
        </w:rPr>
        <w:t xml:space="preserve">ный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оказатель</w:t>
      </w:r>
      <w:r>
        <w:rPr>
          <w:sz w:val="28"/>
          <w:szCs w:val="28"/>
        </w:rPr>
        <w:t xml:space="preserve"> сохранности пунктов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многих</w:t>
      </w:r>
      <w:r>
        <w:rPr>
          <w:sz w:val="28"/>
          <w:szCs w:val="28"/>
        </w:rPr>
        <w:t xml:space="preserve"> из них </w:t>
      </w:r>
      <w:r>
        <w:rPr>
          <w:sz w:val="28"/>
          <w:szCs w:val="28"/>
        </w:rPr>
        <w:t xml:space="preserve">время как будто совсем не коснулось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Столь высокий показатель эксперты связывают с грамотным выбором мест установки и бережным освоением поселка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</w:t>
      </w:r>
      <w:r>
        <w:rPr>
          <w:sz w:val="28"/>
          <w:szCs w:val="28"/>
        </w:rPr>
        <w:t xml:space="preserve">сохранить</w:t>
      </w:r>
      <w:r>
        <w:rPr>
          <w:sz w:val="28"/>
          <w:szCs w:val="28"/>
        </w:rPr>
        <w:t xml:space="preserve"> эти объекты в будущем, сведения об их охранных зонах внесли в </w:t>
      </w:r>
      <w:r>
        <w:rPr>
          <w:sz w:val="28"/>
          <w:szCs w:val="28"/>
        </w:rPr>
        <w:t xml:space="preserve">Единый государственный реестр недвижимости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b/>
          <w:bCs/>
          <w:sz w:val="28"/>
          <w:szCs w:val="28"/>
        </w:rPr>
        <w:t xml:space="preserve">Заместитель руководителя Карельского Росреестра В.В. Карвонен</w:t>
      </w:r>
      <w:r>
        <w:rPr>
          <w:sz w:val="28"/>
          <w:szCs w:val="28"/>
        </w:rPr>
        <w:t xml:space="preserve"> отмечает: </w:t>
      </w:r>
      <w:r>
        <w:rPr>
          <w:i/>
          <w:iCs/>
          <w:sz w:val="28"/>
          <w:szCs w:val="28"/>
        </w:rPr>
        <w:t xml:space="preserve">«</w:t>
      </w:r>
      <w:r>
        <w:rPr>
          <w:i/>
          <w:iCs/>
          <w:sz w:val="28"/>
          <w:szCs w:val="28"/>
        </w:rPr>
        <w:t xml:space="preserve">Н</w:t>
      </w:r>
      <w:r>
        <w:rPr>
          <w:i/>
          <w:iCs/>
          <w:sz w:val="28"/>
          <w:szCs w:val="28"/>
        </w:rPr>
        <w:t xml:space="preserve">аличие установленных охранных зон позволяет учитывать ограничения</w:t>
      </w:r>
      <w:r>
        <w:rPr>
          <w:i/>
          <w:iCs/>
          <w:sz w:val="28"/>
          <w:szCs w:val="28"/>
        </w:rPr>
        <w:t xml:space="preserve"> деятельности</w:t>
      </w:r>
      <w:r>
        <w:rPr>
          <w:i/>
          <w:iCs/>
          <w:sz w:val="28"/>
          <w:szCs w:val="28"/>
        </w:rPr>
        <w:t xml:space="preserve"> при при</w:t>
      </w:r>
      <w:r>
        <w:rPr>
          <w:i/>
          <w:iCs/>
          <w:sz w:val="28"/>
          <w:szCs w:val="28"/>
        </w:rPr>
        <w:t xml:space="preserve">н</w:t>
      </w:r>
      <w:r>
        <w:rPr>
          <w:i/>
          <w:iCs/>
          <w:sz w:val="28"/>
          <w:szCs w:val="28"/>
        </w:rPr>
        <w:t xml:space="preserve">ятии решений</w:t>
      </w:r>
      <w:r>
        <w:rPr>
          <w:i/>
          <w:iCs/>
          <w:sz w:val="28"/>
          <w:szCs w:val="28"/>
        </w:rPr>
        <w:t xml:space="preserve">, связанных с распоряжением и использованием земельных участков, осуществлением строительства и проведением иных работ, </w:t>
      </w:r>
      <w:r>
        <w:rPr>
          <w:i/>
          <w:iCs/>
          <w:sz w:val="28"/>
          <w:szCs w:val="28"/>
        </w:rPr>
        <w:t xml:space="preserve">защищая</w:t>
      </w:r>
      <w:r>
        <w:rPr>
          <w:i/>
          <w:iCs/>
          <w:sz w:val="28"/>
          <w:szCs w:val="28"/>
        </w:rPr>
        <w:t xml:space="preserve"> пункт</w:t>
      </w:r>
      <w:r>
        <w:rPr>
          <w:i/>
          <w:iCs/>
          <w:sz w:val="28"/>
          <w:szCs w:val="28"/>
        </w:rPr>
        <w:t xml:space="preserve">ы от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повреждени</w:t>
      </w:r>
      <w:r>
        <w:rPr>
          <w:i/>
          <w:iCs/>
          <w:sz w:val="28"/>
          <w:szCs w:val="28"/>
        </w:rPr>
        <w:t xml:space="preserve">й</w:t>
      </w:r>
      <w:r>
        <w:rPr>
          <w:i/>
          <w:iCs/>
          <w:sz w:val="28"/>
          <w:szCs w:val="28"/>
        </w:rPr>
        <w:t xml:space="preserve">».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ind w:left="709" w:right="-256" w:firstLine="0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pP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9"/>
          <w:rFonts w:ascii="Segoe UI" w:hAnsi="Segoe UI" w:eastAsia="Calibri" w:cs="Segoe UI"/>
          <w:sz w:val="16"/>
          <w:szCs w:val="16"/>
        </w:rPr>
      </w:r>
      <w:r>
        <w:rPr>
          <w:rStyle w:val="91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Heading 1 Char"/>
    <w:basedOn w:val="889"/>
    <w:link w:val="884"/>
    <w:uiPriority w:val="9"/>
    <w:rPr>
      <w:rFonts w:ascii="Arial" w:hAnsi="Arial" w:eastAsia="Arial" w:cs="Arial"/>
      <w:sz w:val="40"/>
      <w:szCs w:val="40"/>
    </w:rPr>
  </w:style>
  <w:style w:type="character" w:styleId="728">
    <w:name w:val="Heading 2 Char"/>
    <w:basedOn w:val="889"/>
    <w:link w:val="885"/>
    <w:uiPriority w:val="9"/>
    <w:rPr>
      <w:rFonts w:ascii="Arial" w:hAnsi="Arial" w:eastAsia="Arial" w:cs="Arial"/>
      <w:sz w:val="34"/>
    </w:rPr>
  </w:style>
  <w:style w:type="character" w:styleId="729">
    <w:name w:val="Heading 3 Char"/>
    <w:basedOn w:val="889"/>
    <w:link w:val="886"/>
    <w:uiPriority w:val="9"/>
    <w:rPr>
      <w:rFonts w:ascii="Arial" w:hAnsi="Arial" w:eastAsia="Arial" w:cs="Arial"/>
      <w:sz w:val="30"/>
      <w:szCs w:val="30"/>
    </w:rPr>
  </w:style>
  <w:style w:type="character" w:styleId="730">
    <w:name w:val="Heading 4 Char"/>
    <w:basedOn w:val="889"/>
    <w:link w:val="887"/>
    <w:uiPriority w:val="9"/>
    <w:rPr>
      <w:rFonts w:ascii="Arial" w:hAnsi="Arial" w:eastAsia="Arial" w:cs="Arial"/>
      <w:b/>
      <w:bCs/>
      <w:sz w:val="26"/>
      <w:szCs w:val="26"/>
    </w:rPr>
  </w:style>
  <w:style w:type="character" w:styleId="731">
    <w:name w:val="Heading 5 Char"/>
    <w:basedOn w:val="889"/>
    <w:link w:val="888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83"/>
    <w:next w:val="883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89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83"/>
    <w:next w:val="88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89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83"/>
    <w:next w:val="88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89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83"/>
    <w:next w:val="883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89"/>
    <w:link w:val="738"/>
    <w:uiPriority w:val="9"/>
    <w:rPr>
      <w:rFonts w:ascii="Arial" w:hAnsi="Arial" w:eastAsia="Arial" w:cs="Arial"/>
      <w:i/>
      <w:iCs/>
      <w:sz w:val="21"/>
      <w:szCs w:val="21"/>
    </w:rPr>
  </w:style>
  <w:style w:type="character" w:styleId="740">
    <w:name w:val="Title Char"/>
    <w:basedOn w:val="889"/>
    <w:link w:val="945"/>
    <w:uiPriority w:val="10"/>
    <w:rPr>
      <w:sz w:val="48"/>
      <w:szCs w:val="48"/>
    </w:rPr>
  </w:style>
  <w:style w:type="character" w:styleId="741">
    <w:name w:val="Subtitle Char"/>
    <w:basedOn w:val="889"/>
    <w:link w:val="941"/>
    <w:uiPriority w:val="11"/>
    <w:rPr>
      <w:sz w:val="24"/>
      <w:szCs w:val="24"/>
    </w:rPr>
  </w:style>
  <w:style w:type="paragraph" w:styleId="742">
    <w:name w:val="Quote"/>
    <w:basedOn w:val="883"/>
    <w:next w:val="883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83"/>
    <w:next w:val="883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89"/>
    <w:link w:val="926"/>
    <w:uiPriority w:val="99"/>
  </w:style>
  <w:style w:type="character" w:styleId="747">
    <w:name w:val="Footer Char"/>
    <w:basedOn w:val="889"/>
    <w:link w:val="951"/>
    <w:uiPriority w:val="99"/>
  </w:style>
  <w:style w:type="paragraph" w:styleId="748">
    <w:name w:val="Caption"/>
    <w:basedOn w:val="883"/>
    <w:next w:val="883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748"/>
    <w:link w:val="951"/>
    <w:uiPriority w:val="35"/>
  </w:style>
  <w:style w:type="table" w:styleId="750">
    <w:name w:val="Table Grid"/>
    <w:basedOn w:val="8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0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5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8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paragraph" w:styleId="878">
    <w:name w:val="endnote text"/>
    <w:basedOn w:val="883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89"/>
    <w:uiPriority w:val="99"/>
    <w:semiHidden/>
    <w:unhideWhenUsed/>
    <w:rPr>
      <w:vertAlign w:val="superscript"/>
    </w:r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link w:val="892"/>
    <w:qFormat/>
    <w:rPr>
      <w:rFonts w:ascii="Times New Roman" w:hAnsi="Times New Roman"/>
      <w:sz w:val="24"/>
    </w:rPr>
  </w:style>
  <w:style w:type="paragraph" w:styleId="884">
    <w:name w:val="Heading 1"/>
    <w:basedOn w:val="883"/>
    <w:link w:val="91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5">
    <w:name w:val="Heading 2"/>
    <w:next w:val="883"/>
    <w:link w:val="94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6">
    <w:name w:val="Heading 3"/>
    <w:next w:val="883"/>
    <w:link w:val="901"/>
    <w:uiPriority w:val="9"/>
    <w:qFormat/>
    <w:pPr>
      <w:outlineLvl w:val="2"/>
    </w:pPr>
    <w:rPr>
      <w:rFonts w:ascii="XO Thames" w:hAnsi="XO Thames"/>
      <w:b/>
      <w:i/>
    </w:rPr>
  </w:style>
  <w:style w:type="paragraph" w:styleId="887">
    <w:name w:val="Heading 4"/>
    <w:next w:val="883"/>
    <w:link w:val="94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8">
    <w:name w:val="Heading 5"/>
    <w:next w:val="883"/>
    <w:link w:val="91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character" w:styleId="892" w:customStyle="1">
    <w:name w:val="Обычный1"/>
    <w:rPr>
      <w:rFonts w:ascii="Times New Roman" w:hAnsi="Times New Roman"/>
      <w:sz w:val="24"/>
    </w:rPr>
  </w:style>
  <w:style w:type="paragraph" w:styleId="893">
    <w:name w:val="toc 2"/>
    <w:next w:val="883"/>
    <w:link w:val="894"/>
    <w:uiPriority w:val="39"/>
    <w:pPr>
      <w:ind w:left="200"/>
    </w:pPr>
  </w:style>
  <w:style w:type="character" w:styleId="894" w:customStyle="1">
    <w:name w:val="Оглавление 2 Знак"/>
    <w:link w:val="893"/>
  </w:style>
  <w:style w:type="paragraph" w:styleId="895">
    <w:name w:val="toc 4"/>
    <w:next w:val="883"/>
    <w:link w:val="896"/>
    <w:uiPriority w:val="39"/>
    <w:pPr>
      <w:ind w:left="600"/>
    </w:pPr>
  </w:style>
  <w:style w:type="character" w:styleId="896" w:customStyle="1">
    <w:name w:val="Оглавление 4 Знак"/>
    <w:link w:val="895"/>
  </w:style>
  <w:style w:type="paragraph" w:styleId="897">
    <w:name w:val="toc 6"/>
    <w:next w:val="883"/>
    <w:link w:val="898"/>
    <w:uiPriority w:val="39"/>
    <w:pPr>
      <w:ind w:left="1000"/>
    </w:pPr>
  </w:style>
  <w:style w:type="character" w:styleId="898" w:customStyle="1">
    <w:name w:val="Оглавление 6 Знак"/>
    <w:link w:val="897"/>
  </w:style>
  <w:style w:type="paragraph" w:styleId="899">
    <w:name w:val="toc 7"/>
    <w:next w:val="883"/>
    <w:link w:val="900"/>
    <w:uiPriority w:val="39"/>
    <w:pPr>
      <w:ind w:left="1200"/>
    </w:pPr>
  </w:style>
  <w:style w:type="character" w:styleId="900" w:customStyle="1">
    <w:name w:val="Оглавление 7 Знак"/>
    <w:link w:val="899"/>
  </w:style>
  <w:style w:type="character" w:styleId="901" w:customStyle="1">
    <w:name w:val="Заголовок 3 Знак"/>
    <w:link w:val="886"/>
    <w:rPr>
      <w:rFonts w:ascii="XO Thames" w:hAnsi="XO Thames"/>
      <w:b/>
      <w:i/>
      <w:color w:val="000000"/>
    </w:rPr>
  </w:style>
  <w:style w:type="paragraph" w:styleId="902" w:customStyle="1">
    <w:name w:val="article_decoration_first"/>
    <w:basedOn w:val="883"/>
    <w:link w:val="903"/>
    <w:pPr>
      <w:spacing w:beforeAutospacing="1" w:afterAutospacing="1"/>
    </w:pPr>
  </w:style>
  <w:style w:type="character" w:styleId="903" w:customStyle="1">
    <w:name w:val="article_decoration_first"/>
    <w:basedOn w:val="892"/>
    <w:link w:val="902"/>
    <w:rPr>
      <w:rFonts w:ascii="Times New Roman" w:hAnsi="Times New Roman"/>
      <w:sz w:val="24"/>
    </w:rPr>
  </w:style>
  <w:style w:type="paragraph" w:styleId="904" w:customStyle="1">
    <w:name w:val="Строгий1"/>
    <w:basedOn w:val="934"/>
    <w:link w:val="905"/>
    <w:rPr>
      <w:b/>
    </w:rPr>
  </w:style>
  <w:style w:type="character" w:styleId="905">
    <w:name w:val="Strong"/>
    <w:basedOn w:val="889"/>
    <w:link w:val="904"/>
    <w:rPr>
      <w:b/>
    </w:rPr>
  </w:style>
  <w:style w:type="paragraph" w:styleId="906">
    <w:name w:val="Balloon Text"/>
    <w:basedOn w:val="883"/>
    <w:link w:val="907"/>
    <w:rPr>
      <w:rFonts w:ascii="Tahoma" w:hAnsi="Tahoma"/>
      <w:sz w:val="16"/>
    </w:rPr>
  </w:style>
  <w:style w:type="character" w:styleId="907" w:customStyle="1">
    <w:name w:val="Текст выноски Знак"/>
    <w:basedOn w:val="892"/>
    <w:link w:val="906"/>
    <w:rPr>
      <w:rFonts w:ascii="Tahoma" w:hAnsi="Tahoma"/>
      <w:sz w:val="16"/>
    </w:rPr>
  </w:style>
  <w:style w:type="paragraph" w:styleId="908" w:customStyle="1">
    <w:name w:val="ConsPlusNormal"/>
    <w:link w:val="909"/>
    <w:pPr>
      <w:ind w:firstLine="720"/>
    </w:pPr>
    <w:rPr>
      <w:rFonts w:ascii="Arial" w:hAnsi="Arial"/>
    </w:rPr>
  </w:style>
  <w:style w:type="character" w:styleId="909" w:customStyle="1">
    <w:name w:val="ConsPlusNormal"/>
    <w:link w:val="908"/>
    <w:rPr>
      <w:rFonts w:ascii="Arial" w:hAnsi="Arial"/>
    </w:rPr>
  </w:style>
  <w:style w:type="paragraph" w:styleId="910">
    <w:name w:val="toc 3"/>
    <w:next w:val="883"/>
    <w:link w:val="911"/>
    <w:uiPriority w:val="39"/>
    <w:pPr>
      <w:ind w:left="400"/>
    </w:pPr>
  </w:style>
  <w:style w:type="character" w:styleId="911" w:customStyle="1">
    <w:name w:val="Оглавление 3 Знак"/>
    <w:link w:val="910"/>
  </w:style>
  <w:style w:type="paragraph" w:styleId="912" w:customStyle="1">
    <w:name w:val="Просмотренная гиперссылка1"/>
    <w:basedOn w:val="934"/>
    <w:link w:val="913"/>
    <w:rPr>
      <w:color w:val="800080"/>
      <w:u w:val="single"/>
    </w:rPr>
  </w:style>
  <w:style w:type="character" w:styleId="913">
    <w:name w:val="FollowedHyperlink"/>
    <w:basedOn w:val="889"/>
    <w:link w:val="912"/>
    <w:rPr>
      <w:color w:val="800080"/>
      <w:u w:val="single"/>
    </w:rPr>
  </w:style>
  <w:style w:type="character" w:styleId="914" w:customStyle="1">
    <w:name w:val="Заголовок 5 Знак"/>
    <w:link w:val="888"/>
    <w:rPr>
      <w:rFonts w:ascii="XO Thames" w:hAnsi="XO Thames"/>
      <w:b/>
      <w:color w:val="000000"/>
      <w:sz w:val="22"/>
    </w:rPr>
  </w:style>
  <w:style w:type="character" w:styleId="915" w:customStyle="1">
    <w:name w:val="Заголовок 1 Знак"/>
    <w:basedOn w:val="892"/>
    <w:link w:val="884"/>
    <w:rPr>
      <w:rFonts w:ascii="Times New Roman" w:hAnsi="Times New Roman"/>
      <w:b/>
      <w:sz w:val="48"/>
    </w:rPr>
  </w:style>
  <w:style w:type="paragraph" w:styleId="916">
    <w:name w:val="No Spacing"/>
    <w:link w:val="917"/>
    <w:uiPriority w:val="1"/>
    <w:qFormat/>
    <w:rPr>
      <w:sz w:val="22"/>
    </w:rPr>
  </w:style>
  <w:style w:type="character" w:styleId="917" w:customStyle="1">
    <w:name w:val="Без интервала Знак"/>
    <w:link w:val="916"/>
    <w:uiPriority w:val="1"/>
    <w:rPr>
      <w:sz w:val="22"/>
    </w:rPr>
  </w:style>
  <w:style w:type="paragraph" w:styleId="918" w:customStyle="1">
    <w:name w:val="Гиперссылка1"/>
    <w:link w:val="919"/>
    <w:rPr>
      <w:color w:val="0000ff"/>
      <w:u w:val="single"/>
    </w:rPr>
  </w:style>
  <w:style w:type="character" w:styleId="919">
    <w:name w:val="Hyperlink"/>
    <w:link w:val="918"/>
    <w:uiPriority w:val="99"/>
    <w:rPr>
      <w:color w:val="0000ff"/>
      <w:u w:val="single"/>
    </w:rPr>
  </w:style>
  <w:style w:type="paragraph" w:styleId="920" w:customStyle="1">
    <w:name w:val="Footnote"/>
    <w:basedOn w:val="883"/>
    <w:link w:val="921"/>
    <w:rPr>
      <w:sz w:val="20"/>
    </w:rPr>
  </w:style>
  <w:style w:type="character" w:styleId="921" w:customStyle="1">
    <w:name w:val="Footnote"/>
    <w:basedOn w:val="892"/>
    <w:link w:val="920"/>
    <w:rPr>
      <w:rFonts w:ascii="Times New Roman" w:hAnsi="Times New Roman"/>
      <w:sz w:val="20"/>
    </w:rPr>
  </w:style>
  <w:style w:type="paragraph" w:styleId="922">
    <w:name w:val="toc 1"/>
    <w:next w:val="883"/>
    <w:link w:val="923"/>
    <w:uiPriority w:val="39"/>
    <w:rPr>
      <w:rFonts w:ascii="XO Thames" w:hAnsi="XO Thames"/>
      <w:b/>
    </w:rPr>
  </w:style>
  <w:style w:type="character" w:styleId="923" w:customStyle="1">
    <w:name w:val="Оглавление 1 Знак"/>
    <w:link w:val="922"/>
    <w:rPr>
      <w:rFonts w:ascii="XO Thames" w:hAnsi="XO Thames"/>
      <w:b/>
    </w:rPr>
  </w:style>
  <w:style w:type="paragraph" w:styleId="924" w:customStyle="1">
    <w:name w:val="Header and Footer"/>
    <w:link w:val="925"/>
    <w:pPr>
      <w:spacing w:line="360" w:lineRule="auto"/>
    </w:pPr>
    <w:rPr>
      <w:rFonts w:ascii="XO Thames" w:hAnsi="XO Thames"/>
    </w:rPr>
  </w:style>
  <w:style w:type="character" w:styleId="925" w:customStyle="1">
    <w:name w:val="Header and Footer"/>
    <w:link w:val="924"/>
    <w:rPr>
      <w:rFonts w:ascii="XO Thames" w:hAnsi="XO Thames"/>
      <w:sz w:val="20"/>
    </w:rPr>
  </w:style>
  <w:style w:type="paragraph" w:styleId="926">
    <w:name w:val="Header"/>
    <w:basedOn w:val="883"/>
    <w:link w:val="927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7" w:customStyle="1">
    <w:name w:val="Верхний колонтитул Знак"/>
    <w:basedOn w:val="892"/>
    <w:link w:val="926"/>
    <w:rPr>
      <w:rFonts w:ascii="Calibri" w:hAnsi="Calibri"/>
      <w:sz w:val="22"/>
    </w:rPr>
  </w:style>
  <w:style w:type="paragraph" w:styleId="928">
    <w:name w:val="toc 9"/>
    <w:next w:val="883"/>
    <w:link w:val="929"/>
    <w:uiPriority w:val="39"/>
    <w:pPr>
      <w:ind w:left="1600"/>
    </w:pPr>
  </w:style>
  <w:style w:type="character" w:styleId="929" w:customStyle="1">
    <w:name w:val="Оглавление 9 Знак"/>
    <w:link w:val="928"/>
  </w:style>
  <w:style w:type="paragraph" w:styleId="930">
    <w:name w:val="Normal (Web)"/>
    <w:basedOn w:val="883"/>
    <w:link w:val="931"/>
    <w:uiPriority w:val="99"/>
    <w:pPr>
      <w:spacing w:beforeAutospacing="1" w:afterAutospacing="1"/>
    </w:pPr>
  </w:style>
  <w:style w:type="character" w:styleId="931" w:customStyle="1">
    <w:name w:val="Обычный (веб) Знак"/>
    <w:basedOn w:val="892"/>
    <w:link w:val="930"/>
    <w:uiPriority w:val="99"/>
    <w:rPr>
      <w:rFonts w:ascii="Times New Roman" w:hAnsi="Times New Roman"/>
      <w:sz w:val="24"/>
    </w:rPr>
  </w:style>
  <w:style w:type="paragraph" w:styleId="932">
    <w:name w:val="toc 8"/>
    <w:next w:val="883"/>
    <w:link w:val="933"/>
    <w:uiPriority w:val="39"/>
    <w:pPr>
      <w:ind w:left="1400"/>
    </w:pPr>
  </w:style>
  <w:style w:type="character" w:styleId="933" w:customStyle="1">
    <w:name w:val="Оглавление 8 Знак"/>
    <w:link w:val="932"/>
  </w:style>
  <w:style w:type="paragraph" w:styleId="934" w:customStyle="1">
    <w:name w:val="Основной шрифт абзаца1"/>
  </w:style>
  <w:style w:type="paragraph" w:styleId="935">
    <w:name w:val="List Paragraph"/>
    <w:basedOn w:val="883"/>
    <w:link w:val="936"/>
    <w:uiPriority w:val="34"/>
    <w:qFormat/>
    <w:pPr>
      <w:contextualSpacing/>
      <w:ind w:left="720"/>
    </w:pPr>
  </w:style>
  <w:style w:type="character" w:styleId="936" w:customStyle="1">
    <w:name w:val="Абзац списка Знак"/>
    <w:basedOn w:val="892"/>
    <w:link w:val="935"/>
    <w:rPr>
      <w:rFonts w:ascii="Times New Roman" w:hAnsi="Times New Roman"/>
      <w:sz w:val="24"/>
    </w:rPr>
  </w:style>
  <w:style w:type="paragraph" w:styleId="937">
    <w:name w:val="toc 5"/>
    <w:next w:val="883"/>
    <w:link w:val="938"/>
    <w:uiPriority w:val="39"/>
    <w:pPr>
      <w:ind w:left="800"/>
    </w:pPr>
  </w:style>
  <w:style w:type="character" w:styleId="938" w:customStyle="1">
    <w:name w:val="Оглавление 5 Знак"/>
    <w:link w:val="937"/>
  </w:style>
  <w:style w:type="paragraph" w:styleId="939">
    <w:name w:val="Plain Text"/>
    <w:basedOn w:val="883"/>
    <w:link w:val="940"/>
    <w:uiPriority w:val="99"/>
    <w:rPr>
      <w:rFonts w:ascii="Consolas" w:hAnsi="Consolas"/>
      <w:sz w:val="21"/>
    </w:rPr>
  </w:style>
  <w:style w:type="character" w:styleId="940" w:customStyle="1">
    <w:name w:val="Текст Знак"/>
    <w:basedOn w:val="892"/>
    <w:link w:val="939"/>
    <w:uiPriority w:val="99"/>
    <w:rPr>
      <w:rFonts w:ascii="Consolas" w:hAnsi="Consolas"/>
      <w:sz w:val="21"/>
    </w:rPr>
  </w:style>
  <w:style w:type="paragraph" w:styleId="941">
    <w:name w:val="Subtitle"/>
    <w:next w:val="883"/>
    <w:link w:val="942"/>
    <w:uiPriority w:val="11"/>
    <w:qFormat/>
    <w:rPr>
      <w:rFonts w:ascii="XO Thames" w:hAnsi="XO Thames"/>
      <w:i/>
      <w:color w:val="616161"/>
      <w:sz w:val="24"/>
    </w:rPr>
  </w:style>
  <w:style w:type="character" w:styleId="942" w:customStyle="1">
    <w:name w:val="Подзаголовок Знак"/>
    <w:link w:val="941"/>
    <w:rPr>
      <w:rFonts w:ascii="XO Thames" w:hAnsi="XO Thames"/>
      <w:i/>
      <w:color w:val="616161"/>
      <w:sz w:val="24"/>
    </w:rPr>
  </w:style>
  <w:style w:type="paragraph" w:styleId="943" w:customStyle="1">
    <w:name w:val="toc 10"/>
    <w:next w:val="883"/>
    <w:link w:val="944"/>
    <w:uiPriority w:val="39"/>
    <w:pPr>
      <w:ind w:left="1800"/>
    </w:pPr>
  </w:style>
  <w:style w:type="character" w:styleId="944" w:customStyle="1">
    <w:name w:val="toc 10"/>
    <w:link w:val="943"/>
  </w:style>
  <w:style w:type="paragraph" w:styleId="945">
    <w:name w:val="Title"/>
    <w:next w:val="883"/>
    <w:link w:val="946"/>
    <w:uiPriority w:val="10"/>
    <w:qFormat/>
    <w:rPr>
      <w:rFonts w:ascii="XO Thames" w:hAnsi="XO Thames"/>
      <w:b/>
      <w:sz w:val="52"/>
    </w:rPr>
  </w:style>
  <w:style w:type="character" w:styleId="946" w:customStyle="1">
    <w:name w:val="Заголовок Знак"/>
    <w:link w:val="945"/>
    <w:rPr>
      <w:rFonts w:ascii="XO Thames" w:hAnsi="XO Thames"/>
      <w:b/>
      <w:sz w:val="52"/>
    </w:rPr>
  </w:style>
  <w:style w:type="character" w:styleId="947" w:customStyle="1">
    <w:name w:val="Заголовок 4 Знак"/>
    <w:link w:val="887"/>
    <w:rPr>
      <w:rFonts w:ascii="XO Thames" w:hAnsi="XO Thames"/>
      <w:b/>
      <w:color w:val="595959"/>
      <w:sz w:val="26"/>
    </w:rPr>
  </w:style>
  <w:style w:type="character" w:styleId="948" w:customStyle="1">
    <w:name w:val="Заголовок 2 Знак"/>
    <w:link w:val="885"/>
    <w:rPr>
      <w:rFonts w:ascii="XO Thames" w:hAnsi="XO Thames"/>
      <w:b/>
      <w:color w:val="00a0ff"/>
      <w:sz w:val="26"/>
    </w:rPr>
  </w:style>
  <w:style w:type="paragraph" w:styleId="949" w:customStyle="1">
    <w:name w:val="Знак сноски1"/>
    <w:basedOn w:val="934"/>
    <w:link w:val="950"/>
    <w:rPr>
      <w:vertAlign w:val="superscript"/>
    </w:rPr>
  </w:style>
  <w:style w:type="character" w:styleId="950">
    <w:name w:val="footnote reference"/>
    <w:basedOn w:val="889"/>
    <w:link w:val="949"/>
    <w:uiPriority w:val="99"/>
    <w:rPr>
      <w:vertAlign w:val="superscript"/>
    </w:rPr>
  </w:style>
  <w:style w:type="paragraph" w:styleId="951">
    <w:name w:val="Footer"/>
    <w:basedOn w:val="883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52" w:customStyle="1">
    <w:name w:val="Нижний колонтитул Знак"/>
    <w:basedOn w:val="892"/>
    <w:link w:val="951"/>
    <w:rPr>
      <w:rFonts w:ascii="Times New Roman" w:hAnsi="Times New Roman"/>
      <w:sz w:val="24"/>
    </w:rPr>
  </w:style>
  <w:style w:type="character" w:styleId="953" w:customStyle="1">
    <w:name w:val="Основной текст (2) + 11"/>
    <w:basedOn w:val="88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4" w:customStyle="1">
    <w:name w:val="Подпись к таблице"/>
    <w:basedOn w:val="88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5" w:customStyle="1">
    <w:name w:val="Font Style11"/>
    <w:basedOn w:val="889"/>
    <w:rPr>
      <w:rFonts w:hint="default" w:ascii="Times New Roman" w:hAnsi="Times New Roman" w:cs="Times New Roman"/>
      <w:sz w:val="24"/>
      <w:szCs w:val="24"/>
    </w:rPr>
  </w:style>
  <w:style w:type="character" w:styleId="956" w:customStyle="1">
    <w:name w:val="Основной текст_"/>
    <w:basedOn w:val="889"/>
    <w:link w:val="957"/>
    <w:rPr>
      <w:rFonts w:ascii="Times New Roman" w:hAnsi="Times New Roman"/>
      <w:sz w:val="27"/>
      <w:szCs w:val="27"/>
      <w:shd w:val="clear" w:color="auto" w:fill="ffffff"/>
    </w:rPr>
  </w:style>
  <w:style w:type="paragraph" w:styleId="957" w:customStyle="1">
    <w:name w:val="Основной текст1"/>
    <w:basedOn w:val="883"/>
    <w:link w:val="95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8">
    <w:name w:val="Emphasis"/>
    <w:basedOn w:val="889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q=%23%D0%A0%D0%BE%D1%81%D1%80%D0%B5%D0%B5%D1%81%D1%82%D1%80" TargetMode="External"/><Relationship Id="rId11" Type="http://schemas.openxmlformats.org/officeDocument/2006/relationships/hyperlink" Target="https://vk.com/feed?section=search&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23</cp:revision>
  <dcterms:created xsi:type="dcterms:W3CDTF">2026-04-09T06:17:00Z</dcterms:created>
  <dcterms:modified xsi:type="dcterms:W3CDTF">2026-09-03T07:28:33Z</dcterms:modified>
</cp:coreProperties>
</file>