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83" w:lineRule="exact"/>
        <w:ind w:firstLine="851"/>
        <w:jc w:val="both"/>
        <w:rPr>
          <w:sz w:val="28"/>
          <w:szCs w:val="28"/>
        </w:rPr>
      </w:pPr>
    </w:p>
    <w:p>
      <w:pPr>
        <w:pStyle w:val="1b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ind w:right="27" w:firstLine="709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Уступка прав по договору аренды земельного участка, заключенному по результатам торгов</w:t>
      </w:r>
    </w:p>
    <w:p>
      <w:pPr>
        <w:ind w:right="27" w:firstLine="709"/>
        <w:jc w:val="center"/>
        <w:rPr>
          <w:b/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общему правилу а</w:t>
      </w:r>
      <w:r>
        <w:rPr>
          <w:sz w:val="28"/>
          <w:szCs w:val="28"/>
          <w:highlight w:val="white"/>
        </w:rPr>
        <w:t xml:space="preserve">рендатор вправе передать свои права и обязанности третьему лицу. </w:t>
      </w:r>
      <w:r>
        <w:rPr>
          <w:sz w:val="28"/>
          <w:szCs w:val="28"/>
        </w:rPr>
        <w:t xml:space="preserve">Но давайте разберемся возможна ли уступка в ситуации, когда договор аренды земельного участка заключен на торгах.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Короткий ответ: «Нет», отметил</w:t>
      </w:r>
      <w:r>
        <w:rPr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директор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ГКУ РК «Управление земельными ресурсами»</w:t>
      </w:r>
      <w:r>
        <w:rPr>
          <w:b/>
          <w:bCs/>
          <w:sz w:val="28"/>
          <w:szCs w:val="28"/>
          <w:highlight w:val="white"/>
        </w:rPr>
        <w:t xml:space="preserve"> Михаил Есин</w:t>
      </w:r>
      <w:bookmarkStart w:id="0" w:name="_GoBack"/>
      <w:bookmarkEnd w:id="0"/>
      <w:r>
        <w:rPr>
          <w:sz w:val="28"/>
          <w:szCs w:val="28"/>
          <w:highlight w:val="white"/>
        </w:rPr>
        <w:t xml:space="preserve">, обратив внимание, что за этим </w:t>
      </w:r>
      <w:r>
        <w:rPr>
          <w:sz w:val="28"/>
          <w:szCs w:val="28"/>
          <w:highlight w:val="white"/>
        </w:rPr>
        <w:t xml:space="preserve">стоит конкретная норма закона. Речь идет о пункте 7 статьи 448 Гражданского кодекса РФ, согласно которому если договор заключается только </w:t>
      </w:r>
      <w:r>
        <w:rPr>
          <w:sz w:val="28"/>
          <w:szCs w:val="28"/>
        </w:rPr>
        <w:t xml:space="preserve">по результатам торгов</w:t>
      </w:r>
      <w:r>
        <w:rPr>
          <w:sz w:val="28"/>
          <w:szCs w:val="28"/>
          <w:highlight w:val="white"/>
        </w:rPr>
        <w:t xml:space="preserve">, то победитель не вправе уступать права или переводить долг по такому договору. Обязательства он</w:t>
      </w:r>
      <w:r>
        <w:rPr>
          <w:sz w:val="28"/>
          <w:szCs w:val="28"/>
          <w:highlight w:val="white"/>
        </w:rPr>
        <w:t xml:space="preserve"> должен исполнить лично. Эта норма стала обязательной после 1 июня 2015 года</w:t>
      </w:r>
      <w:r>
        <w:rPr>
          <w:sz w:val="28"/>
          <w:szCs w:val="28"/>
        </w:rPr>
        <w:t xml:space="preserve">, то есть </w:t>
      </w:r>
      <w:r>
        <w:rPr>
          <w:color w:val="1e1e1e"/>
          <w:sz w:val="28"/>
          <w:szCs w:val="28"/>
        </w:rPr>
        <w:t xml:space="preserve">этот запрет не</w:t>
      </w:r>
      <w:r>
        <w:rPr>
          <w:color w:val="1e1e1e"/>
          <w:sz w:val="28"/>
          <w:szCs w:val="28"/>
          <w:highlight w:val="white"/>
        </w:rPr>
        <w:t xml:space="preserve"> распространяется на договоры аренды, первоначально заключенные до указанной даты, даже если договор аренды был заключен по результатам торгов.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ind w:firstLine="709"/>
        <w:jc w:val="both"/>
        <w:rPr>
          <w:color w:val="1e1e1e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Заместитель руководителя Управления </w:t>
      </w:r>
      <w:r>
        <w:rPr>
          <w:b/>
          <w:bCs/>
          <w:color w:val="auto"/>
          <w:sz w:val="28"/>
          <w:szCs w:val="28"/>
        </w:rPr>
        <w:t xml:space="preserve">Росреестра</w:t>
      </w:r>
      <w:r>
        <w:rPr>
          <w:b/>
          <w:bCs/>
          <w:color w:val="auto"/>
          <w:sz w:val="28"/>
          <w:szCs w:val="28"/>
        </w:rPr>
        <w:t xml:space="preserve"> по Республике Карелия Татьяна Полякова </w:t>
      </w:r>
      <w:r>
        <w:rPr>
          <w:color w:val="auto"/>
          <w:sz w:val="28"/>
          <w:szCs w:val="28"/>
        </w:rPr>
        <w:t xml:space="preserve">также обратила внимание на то, что</w:t>
      </w:r>
      <w:r>
        <w:rPr>
          <w:color w:val="1e1e1e"/>
          <w:sz w:val="28"/>
          <w:szCs w:val="28"/>
        </w:rPr>
        <w:t xml:space="preserve"> даже если договор аренды земельного участка и был заключен позже, существуют исключения из действующего запрета на уступку прав по дого</w:t>
      </w:r>
      <w:r>
        <w:rPr>
          <w:color w:val="1e1e1e"/>
          <w:sz w:val="28"/>
          <w:szCs w:val="28"/>
        </w:rPr>
        <w:t xml:space="preserve">вору аренды</w:t>
      </w:r>
      <w:r>
        <w:rPr>
          <w:sz w:val="28"/>
          <w:szCs w:val="28"/>
        </w:rPr>
        <w:t xml:space="preserve"> земельного участка, заключенному по результатам торго</w:t>
      </w:r>
      <w:r>
        <w:rPr>
          <w:color w:val="1e1e1e"/>
          <w:sz w:val="28"/>
          <w:szCs w:val="28"/>
        </w:rPr>
        <w:t xml:space="preserve">в: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ind w:firstLine="709"/>
        <w:jc w:val="both"/>
        <w:rPr>
          <w:sz w:val="28"/>
          <w:szCs w:val="28"/>
        </w:rPr>
      </w:pPr>
      <w:r>
        <w:rPr>
          <w:color w:val="1e1e1e"/>
          <w:sz w:val="28"/>
          <w:szCs w:val="28"/>
        </w:rPr>
        <w:t xml:space="preserve">арендатор земельного участка, приобретенного на торгах, имеет право передать свои права и обязанности по договору при отчуждении принадлежащего ему объекта недвижимости, расположенного на</w:t>
      </w:r>
      <w:r>
        <w:rPr>
          <w:color w:val="1e1e1e"/>
          <w:sz w:val="28"/>
          <w:szCs w:val="28"/>
        </w:rPr>
        <w:t xml:space="preserve"> арендуемом земельном участке. </w:t>
      </w:r>
      <w:r>
        <w:rPr>
          <w:sz w:val="28"/>
          <w:szCs w:val="28"/>
          <w:highlight w:val="white"/>
        </w:rPr>
        <w:t xml:space="preserve">Здесь срабатывает принцип из земельного права: земля и прочно связанные с ней объекты должны следовать одной судьб</w:t>
      </w:r>
      <w:r>
        <w:rPr>
          <w:sz w:val="28"/>
          <w:szCs w:val="28"/>
        </w:rPr>
        <w:t xml:space="preserve">е;</w:t>
      </w:r>
    </w:p>
    <w:p>
      <w:pPr>
        <w:pStyle w:val="af2"/>
        <w:ind w:firstLine="70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1e1e1e"/>
          <w:sz w:val="28"/>
          <w:szCs w:val="28"/>
        </w:rPr>
        <w:t xml:space="preserve">если земельный участок предоставлен гражданам </w:t>
      </w:r>
      <w:r>
        <w:rPr>
          <w:rFonts w:ascii="Times New Roman" w:hAnsi="Times New Roman"/>
          <w:sz w:val="28"/>
          <w:szCs w:val="28"/>
        </w:rPr>
        <w:t xml:space="preserve">для индивидуального жилищного строительства, ведения личного п</w:t>
      </w:r>
      <w:r>
        <w:rPr>
          <w:rFonts w:ascii="Times New Roman" w:hAnsi="Times New Roman"/>
          <w:sz w:val="28"/>
          <w:szCs w:val="28"/>
        </w:rPr>
        <w:t xml:space="preserve">одсобного хозяйства в границах населенного пункта, ведения гражданами садоводства для собственных нужд</w:t>
      </w:r>
      <w:r>
        <w:rPr>
          <w:rFonts w:ascii="Times New Roman" w:hAnsi="Times New Roman"/>
          <w:color w:val="1e1e1e"/>
          <w:sz w:val="28"/>
          <w:szCs w:val="28"/>
        </w:rPr>
        <w:t xml:space="preserve">, </w:t>
      </w:r>
      <w:r>
        <w:rPr>
          <w:rFonts w:ascii="Times New Roman" w:hAnsi="Times New Roman"/>
          <w:color w:val="1e1e1e"/>
          <w:sz w:val="28"/>
          <w:szCs w:val="28"/>
        </w:rPr>
        <w:t xml:space="preserve">поскольку  в</w:t>
      </w:r>
      <w:r>
        <w:rPr>
          <w:rFonts w:ascii="Times New Roman" w:hAnsi="Times New Roman"/>
          <w:color w:val="1e1e1e"/>
          <w:sz w:val="28"/>
          <w:szCs w:val="28"/>
        </w:rPr>
        <w:t xml:space="preserve"> данном случае земельные участки гражданами могут приобретаться как на торгах, так и без их проведения.</w:t>
      </w:r>
    </w:p>
    <w:p>
      <w:pPr>
        <w:pStyle w:val="af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/>
        </w:rPr>
      </w:pPr>
    </w:p>
    <w:p>
      <w:pPr>
        <w:pStyle w:val="af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>
      <w:pPr>
        <w:widowControl w:val="off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r>
        <w:rPr>
          <w:rFonts w:ascii="Segoe UI" w:hAnsi="Segoe UI"/>
          <w:sz w:val="20"/>
        </w:rPr>
        <w:t xml:space="preserve">Росреестра</w:t>
      </w:r>
      <w:r>
        <w:rPr>
          <w:rFonts w:ascii="Segoe UI" w:hAnsi="Segoe UI"/>
          <w:sz w:val="20"/>
        </w:rPr>
        <w:t xml:space="preserve"> по Республике Карелия</w:t>
      </w:r>
    </w:p>
    <w:p>
      <w:pPr>
        <w:ind w:firstLine="567"/>
        <w:jc w:val="right"/>
        <w:outlineLvl w:val="0"/>
        <w:rPr>
          <w:sz w:val="20"/>
        </w:rPr>
      </w:pPr>
      <w:hyperlink r:id="rId10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 xml:space="preserve">#</w:t>
        </w:r>
        <w:r>
          <w:rPr>
            <w:rStyle w:val="af4"/>
            <w:rFonts w:ascii="Segoe UI" w:hAnsi="Segoe UI"/>
            <w:color w:val="2a5885"/>
            <w:sz w:val="20"/>
          </w:rPr>
          <w:t xml:space="preserve">Росреестр</w:t>
        </w:r>
      </w:hyperlink>
      <w:r>
        <w:rPr>
          <w:rFonts w:ascii="Segoe UI" w:hAnsi="Segoe UI"/>
          <w:sz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 xml:space="preserve">#</w:t>
        </w:r>
        <w:r>
          <w:rPr>
            <w:rStyle w:val="af4"/>
            <w:rFonts w:ascii="Segoe UI" w:hAnsi="Segoe UI"/>
            <w:color w:val="2a5885"/>
            <w:sz w:val="20"/>
          </w:rPr>
          <w:t xml:space="preserve">РосреестрКарелии</w:t>
        </w:r>
      </w:hyperlink>
      <w:r>
        <w:rPr>
          <w:sz w:val="20"/>
        </w:rPr>
        <w:t xml:space="preserve"> </w:t>
      </w:r>
    </w:p>
    <w:p>
      <w:pPr>
        <w:ind w:firstLine="567"/>
        <w:jc w:val="right"/>
        <w:outlineLvl w:val="0"/>
        <w:rPr>
          <w:sz w:val="20"/>
        </w:rPr>
      </w:pP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</w:p>
    <w:p>
      <w:pPr>
        <w:widowControl w:val="off"/>
        <w:shd w:val="clear" w:color="auto" w:fill="ffffff"/>
        <w:outlineLvl w:val="0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</w:p>
    <w:p>
      <w:pPr>
        <w:rPr>
          <w:rStyle w:val="af4"/>
          <w:rFonts w:ascii="Segoe UI" w:hAnsi="Segoe UI" w:eastAsia="Calibri" w:cs="Segoe UI"/>
          <w:sz w:val="16"/>
          <w:szCs w:val="16"/>
        </w:rPr>
      </w:pPr>
      <w:hyperlink r:id="rId12" w:tooltip="mailto:A.Vorobeva@r10.rosreestr.ru" w:history="1">
        <w:r>
          <w:rPr>
            <w:rStyle w:val="af4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</w:p>
    <w:sectPr>
      <w:headerReference w:type="default" r:id="rId9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Segoe UI">
    <w:panose1 w:val="020B0502040504020204"/>
  </w:font>
  <w:font w:name="Tahoma">
    <w:panose1 w:val="020B0604030504040204"/>
  </w:font>
  <w:font w:name="Arial">
    <w:panose1 w:val="020B0604020202020204"/>
  </w:font>
  <w:font w:name="Consolas">
    <w:panose1 w:val="020B0606020202030204"/>
  </w:font>
  <w:font w:name="XO Thames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D870D050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320411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CA721FC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1BAC1998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40603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2230D314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636A5014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872646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C2E2DF74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 w:tplc="CC86DAA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 w:tplc="ED126E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906E52EC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A72022B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FB5243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FBDA9C84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E3806452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10C821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EA6CB1CA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 w:tplc="8DAEB18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 w:tplc="68EE0F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2A50922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8D706262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DC181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4552CEC2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8946D31C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54DE36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72B88856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 w:tplc="188AAF40">
      <w:start w:val="1"/>
      <w:numFmt w:val="bullet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 w:tplc="AE7070E8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584A0EA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9C420C8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F7ECC04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8E496A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4CAB6A8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ECA8964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BF386FA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 w:tplc="D24C4824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E82EE7F6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4F4EE88A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9C3E974C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D422B084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52F02612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E91C6AAC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DB2EF6FE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216EDA8C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 w:tplc="237EDFB6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 w:tplc="E4DEC6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A61AA71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0DF0FB46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3B860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2B8E733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6968369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9BDCC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BAE0D9E2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 w:tplc="37809A6A">
      <w:start w:val="1"/>
      <w:numFmt w:val="decimal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 w:tplc="55C016C0">
      <w:start w:val="1"/>
      <w:numFmt w:val="decimal"/>
      <w:lvlText w:val="%2."/>
      <w:lvlJc w:val="right"/>
      <w:pPr>
        <w:ind w:left="1429" w:hanging="360"/>
      </w:pPr>
    </w:lvl>
    <w:lvl w:ilvl="2" w:tplc="41C45A1A">
      <w:start w:val="1"/>
      <w:numFmt w:val="decimal"/>
      <w:lvlText w:val="%3."/>
      <w:lvlJc w:val="right"/>
      <w:pPr>
        <w:ind w:left="2149" w:hanging="180"/>
      </w:pPr>
    </w:lvl>
    <w:lvl w:ilvl="3" w:tplc="14F2DD94">
      <w:start w:val="1"/>
      <w:numFmt w:val="decimal"/>
      <w:lvlText w:val="%4."/>
      <w:lvlJc w:val="right"/>
      <w:pPr>
        <w:ind w:left="2869" w:hanging="360"/>
      </w:pPr>
    </w:lvl>
    <w:lvl w:ilvl="4" w:tplc="358A69AE">
      <w:start w:val="1"/>
      <w:numFmt w:val="decimal"/>
      <w:lvlText w:val="%5."/>
      <w:lvlJc w:val="right"/>
      <w:pPr>
        <w:ind w:left="3589" w:hanging="360"/>
      </w:pPr>
    </w:lvl>
    <w:lvl w:ilvl="5" w:tplc="BBE4BD10">
      <w:start w:val="1"/>
      <w:numFmt w:val="decimal"/>
      <w:lvlText w:val="%6."/>
      <w:lvlJc w:val="right"/>
      <w:pPr>
        <w:ind w:left="4309" w:hanging="180"/>
      </w:pPr>
    </w:lvl>
    <w:lvl w:ilvl="6" w:tplc="C3702942">
      <w:start w:val="1"/>
      <w:numFmt w:val="decimal"/>
      <w:lvlText w:val="%7."/>
      <w:lvlJc w:val="right"/>
      <w:pPr>
        <w:ind w:left="5029" w:hanging="360"/>
      </w:pPr>
    </w:lvl>
    <w:lvl w:ilvl="7" w:tplc="2E56F6E8">
      <w:start w:val="1"/>
      <w:numFmt w:val="decimal"/>
      <w:lvlText w:val="%8."/>
      <w:lvlJc w:val="right"/>
      <w:pPr>
        <w:ind w:left="5749" w:hanging="360"/>
      </w:pPr>
    </w:lvl>
    <w:lvl w:ilvl="8" w:tplc="BC4659B4">
      <w:start w:val="1"/>
      <w:numFmt w:val="decimal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 w:tplc="A2366FA8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D8EC7E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8EFE357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62F24212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23B062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558AF7F4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F08A7A8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08E6D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175C88F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 w:tplc="3A20662A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 w:tplc="BA94343C">
      <w:start w:val="1"/>
      <w:numFmt w:val="bullet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 w:tplc="64E6458E">
      <w:start w:val="1"/>
      <w:numFmt w:val="bullet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 w:tplc="AF54DC86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 w:tplc="8AC04EA0">
      <w:start w:val="1"/>
      <w:numFmt w:val="bullet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 w:tplc="C128D016">
      <w:start w:val="1"/>
      <w:numFmt w:val="bullet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 w:tplc="5BC863BA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 w:tplc="70144848">
      <w:start w:val="1"/>
      <w:numFmt w:val="bullet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 w:tplc="5DD4F0B0">
      <w:start w:val="1"/>
      <w:numFmt w:val="bullet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 w:tplc="9B604D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7B285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876475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9B4EA5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8ED86A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351604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5E02F9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16A055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0BB0E0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 w:tplc="A0068D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7E6A12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9BE40A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3C7A60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52888C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E4985A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6916D2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9326B9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E4868A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 w:tplc="69B0E308">
      <w:start w:val="1"/>
      <w:numFmt w:val="bullet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 w:tplc="693E1176">
      <w:start w:val="1"/>
      <w:numFmt w:val="bullet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 w:tplc="237C9994">
      <w:start w:val="1"/>
      <w:numFmt w:val="bullet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 w:tplc="47D4DF2A">
      <w:start w:val="1"/>
      <w:numFmt w:val="bullet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 w:tplc="0DA84136">
      <w:start w:val="1"/>
      <w:numFmt w:val="bullet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 w:tplc="FEDCEDAE">
      <w:start w:val="1"/>
      <w:numFmt w:val="bullet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 w:tplc="F2EC1070">
      <w:start w:val="1"/>
      <w:numFmt w:val="bullet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 w:tplc="ECDA0786">
      <w:start w:val="1"/>
      <w:numFmt w:val="bullet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 w:tplc="1678636C">
      <w:start w:val="1"/>
      <w:numFmt w:val="bullet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2">
    <w:multiLevelType w:val="hybridMultilevel"/>
    <w:lvl w:ilvl="0" w:tplc="C576EF94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A22C0682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27B26292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8E644F2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7960F97C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9F8C276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6A8729A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80A5494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2A66CF86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7F6CD646">
      <w:start w:val="1"/>
      <w:numFmt w:val="bullet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 w:tplc="EE70F344">
      <w:start w:val="1"/>
      <w:numFmt w:val="bullet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 w:tplc="FEB88DE2">
      <w:start w:val="1"/>
      <w:numFmt w:val="bullet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 w:tplc="A3706B96">
      <w:start w:val="1"/>
      <w:numFmt w:val="bullet"/>
      <w:lvlText w:val=""/>
      <w:lvlJc w:val="left"/>
      <w:pPr>
        <w:ind w:left="4080" w:hanging="360"/>
      </w:pPr>
      <w:rPr>
        <w:rFonts w:hint="default" w:ascii="Symbol" w:hAnsi="Symbol"/>
      </w:rPr>
    </w:lvl>
    <w:lvl w:ilvl="4" w:tplc="F8683E1E">
      <w:start w:val="1"/>
      <w:numFmt w:val="bullet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 w:tplc="7E7E1564">
      <w:start w:val="1"/>
      <w:numFmt w:val="bullet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 w:tplc="F90CE824">
      <w:start w:val="1"/>
      <w:numFmt w:val="bullet"/>
      <w:lvlText w:val=""/>
      <w:lvlJc w:val="left"/>
      <w:pPr>
        <w:ind w:left="6240" w:hanging="360"/>
      </w:pPr>
      <w:rPr>
        <w:rFonts w:hint="default" w:ascii="Symbol" w:hAnsi="Symbol"/>
      </w:rPr>
    </w:lvl>
    <w:lvl w:ilvl="7" w:tplc="3C3662F2">
      <w:start w:val="1"/>
      <w:numFmt w:val="bullet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 w:tplc="62829F2C">
      <w:start w:val="1"/>
      <w:numFmt w:val="bullet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 w:tplc="60C60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9BC2C60">
      <w:start w:val="1"/>
      <w:numFmt w:val="lowerLetter"/>
      <w:lvlText w:val="%2."/>
      <w:lvlJc w:val="left"/>
      <w:pPr>
        <w:ind w:left="1440" w:hanging="360"/>
      </w:pPr>
    </w:lvl>
    <w:lvl w:ilvl="2" w:tplc="ED4AF6B8">
      <w:start w:val="1"/>
      <w:numFmt w:val="lowerRoman"/>
      <w:lvlText w:val="%3."/>
      <w:lvlJc w:val="right"/>
      <w:pPr>
        <w:ind w:left="2160" w:hanging="180"/>
      </w:pPr>
    </w:lvl>
    <w:lvl w:ilvl="3" w:tplc="79DC92EC">
      <w:start w:val="1"/>
      <w:numFmt w:val="decimal"/>
      <w:lvlText w:val="%4."/>
      <w:lvlJc w:val="left"/>
      <w:pPr>
        <w:ind w:left="2880" w:hanging="360"/>
      </w:pPr>
    </w:lvl>
    <w:lvl w:ilvl="4" w:tplc="F2CC3A0C">
      <w:start w:val="1"/>
      <w:numFmt w:val="lowerLetter"/>
      <w:lvlText w:val="%5."/>
      <w:lvlJc w:val="left"/>
      <w:pPr>
        <w:ind w:left="3600" w:hanging="360"/>
      </w:pPr>
    </w:lvl>
    <w:lvl w:ilvl="5" w:tplc="39840B32">
      <w:start w:val="1"/>
      <w:numFmt w:val="lowerRoman"/>
      <w:lvlText w:val="%6."/>
      <w:lvlJc w:val="right"/>
      <w:pPr>
        <w:ind w:left="4320" w:hanging="180"/>
      </w:pPr>
    </w:lvl>
    <w:lvl w:ilvl="6" w:tplc="FEC456D4">
      <w:start w:val="1"/>
      <w:numFmt w:val="decimal"/>
      <w:lvlText w:val="%7."/>
      <w:lvlJc w:val="left"/>
      <w:pPr>
        <w:ind w:left="5040" w:hanging="360"/>
      </w:pPr>
    </w:lvl>
    <w:lvl w:ilvl="7" w:tplc="9E06BC50">
      <w:start w:val="1"/>
      <w:numFmt w:val="lowerLetter"/>
      <w:lvlText w:val="%8."/>
      <w:lvlJc w:val="left"/>
      <w:pPr>
        <w:ind w:left="5760" w:hanging="360"/>
      </w:pPr>
    </w:lvl>
    <w:lvl w:ilvl="8" w:tplc="E6DE65B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plc="7B0E4D74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D3002E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6E42357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1736C9D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07B61C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EB12BA46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B4A823E8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D55019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167A8DC6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 w:tplc="8B88829C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18608C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3F2E154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E0D83BA2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165E7A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961659CA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1966C97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9F3072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0E1A41B4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 w:tplc="84B2210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7006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ACAC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42A7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492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4EF3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18D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66A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EC34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1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2"/>
  </w:num>
  <w:num w:numId="14">
    <w:abstractNumId w:val="7"/>
  </w:num>
  <w:num w:numId="15">
    <w:abstractNumId w:val="16"/>
  </w:num>
  <w:num w:numId="16">
    <w:abstractNumId w:val="0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basedOn w:val="a0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0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0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0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a0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4" w:customStyle="1">
    <w:name w:val="Выделенная цитата Знак"/>
    <w:link w:val="a3"/>
    <w:uiPriority w:val="30"/>
    <w:rPr>
      <w:i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CaptionChar" w:customStyle="1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Light" w:customStyle="1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styleId="a8" w:customStyle="1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styleId="aa" w:customStyle="1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styleId="1" w:customStyle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styleId="25" w:customStyle="1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styleId="43" w:customStyle="1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styleId="62" w:customStyle="1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styleId="72" w:customStyle="1">
    <w:name w:val="Оглавление 7 Знак"/>
    <w:link w:val="71"/>
  </w:style>
  <w:style w:type="character" w:styleId="30" w:customStyle="1">
    <w:name w:val="Заголовок 3 Знак"/>
    <w:link w:val="3"/>
    <w:rPr>
      <w:rFonts w:ascii="XO Thames" w:hAnsi="XO Thames"/>
      <w:b/>
      <w:i/>
      <w:color w:val="000000"/>
    </w:rPr>
  </w:style>
  <w:style w:type="paragraph" w:styleId="articledecorationfirst" w:customStyle="1">
    <w:name w:val="article_decoration_first"/>
    <w:basedOn w:val="a"/>
    <w:link w:val="articledecorationfirst0"/>
    <w:pPr>
      <w:spacing w:beforeAutospacing="1" w:afterAutospacing="1"/>
    </w:pPr>
  </w:style>
  <w:style w:type="character" w:styleId="articledecorationfirst0" w:customStyle="1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styleId="13" w:customStyle="1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styleId="af0" w:customStyle="1">
    <w:name w:val="Текст выноски Знак"/>
    <w:basedOn w:val="1"/>
    <w:link w:val="af"/>
    <w:rPr>
      <w:rFonts w:ascii="Tahoma" w:hAnsi="Tahoma"/>
      <w:sz w:val="16"/>
    </w:rPr>
  </w:style>
  <w:style w:type="paragraph" w:styleId="ConsPlusNormal" w:customStyle="1">
    <w:name w:val="ConsPlusNormal"/>
    <w:link w:val="ConsPlusNormal0"/>
    <w:pPr>
      <w:ind w:firstLine="720"/>
    </w:pPr>
    <w:rPr>
      <w:rFonts w:ascii="Arial" w:hAnsi="Arial"/>
    </w:rPr>
  </w:style>
  <w:style w:type="character" w:styleId="ConsPlusNormal0" w:customStyle="1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styleId="33" w:customStyle="1">
    <w:name w:val="Оглавление 3 Знак"/>
    <w:link w:val="32"/>
  </w:style>
  <w:style w:type="paragraph" w:styleId="15" w:customStyle="1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styleId="50" w:customStyle="1">
    <w:name w:val="Заголовок 5 Знак"/>
    <w:link w:val="5"/>
    <w:rPr>
      <w:rFonts w:ascii="XO Thames" w:hAnsi="XO Thames"/>
      <w:b/>
      <w:color w:val="000000"/>
      <w:sz w:val="22"/>
    </w:rPr>
  </w:style>
  <w:style w:type="character" w:styleId="11" w:customStyle="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styleId="af3" w:customStyle="1">
    <w:name w:val="Без интервала Знак"/>
    <w:link w:val="af2"/>
    <w:uiPriority w:val="1"/>
    <w:rPr>
      <w:sz w:val="22"/>
    </w:rPr>
  </w:style>
  <w:style w:type="paragraph" w:styleId="16" w:customStyle="1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styleId="Footnote" w:customStyle="1">
    <w:name w:val="Footnote"/>
    <w:basedOn w:val="a"/>
    <w:link w:val="Footnote0"/>
    <w:rPr>
      <w:sz w:val="20"/>
    </w:rPr>
  </w:style>
  <w:style w:type="character" w:styleId="Footnote0" w:customStyle="1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styleId="18" w:customStyle="1">
    <w:name w:val="Оглавление 1 Знак"/>
    <w:link w:val="17"/>
    <w:rPr>
      <w:rFonts w:ascii="XO Thames" w:hAnsi="XO Thames"/>
      <w:b/>
    </w:rPr>
  </w:style>
  <w:style w:type="paragraph" w:styleId="HeaderandFooter" w:customStyle="1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styleId="HeaderandFooter0" w:customStyle="1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styleId="af6" w:customStyle="1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styleId="92" w:customStyle="1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styleId="af8" w:customStyle="1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styleId="82" w:customStyle="1">
    <w:name w:val="Оглавление 8 Знак"/>
    <w:link w:val="81"/>
  </w:style>
  <w:style w:type="paragraph" w:styleId="14" w:customStyle="1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styleId="afa" w:customStyle="1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styleId="53" w:customStyle="1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styleId="afc" w:customStyle="1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styleId="afe" w:customStyle="1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styleId="toc10" w:customStyle="1">
    <w:name w:val="toc 10"/>
    <w:next w:val="a"/>
    <w:link w:val="toc100"/>
    <w:uiPriority w:val="39"/>
    <w:pPr>
      <w:ind w:left="1800"/>
    </w:pPr>
  </w:style>
  <w:style w:type="character" w:styleId="toc100" w:customStyle="1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styleId="aff0" w:customStyle="1">
    <w:name w:val="Название Знак"/>
    <w:link w:val="aff"/>
    <w:rPr>
      <w:rFonts w:ascii="XO Thames" w:hAnsi="XO Thames"/>
      <w:b/>
      <w:sz w:val="52"/>
    </w:rPr>
  </w:style>
  <w:style w:type="character" w:styleId="40" w:customStyle="1">
    <w:name w:val="Заголовок 4 Знак"/>
    <w:link w:val="4"/>
    <w:rPr>
      <w:rFonts w:ascii="XO Thames" w:hAnsi="XO Thames"/>
      <w:b/>
      <w:color w:val="595959"/>
      <w:sz w:val="26"/>
    </w:rPr>
  </w:style>
  <w:style w:type="character" w:styleId="20" w:customStyle="1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19" w:customStyle="1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styleId="aff3" w:customStyle="1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styleId="211" w:customStyle="1">
    <w:name w:val="Основной текст (2) + 11"/>
    <w:basedOn w:val="a0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aff4" w:customStyle="1">
    <w:name w:val="Подпись к таблице"/>
    <w:basedOn w:val="a0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FontStyle11" w:customStyle="1">
    <w:name w:val="Font Style11"/>
    <w:basedOn w:val="a0"/>
    <w:rPr>
      <w:rFonts w:hint="default" w:ascii="Times New Roman" w:hAnsi="Times New Roman" w:cs="Times New Roman"/>
      <w:sz w:val="24"/>
      <w:szCs w:val="24"/>
    </w:rPr>
  </w:style>
  <w:style w:type="character" w:styleId="aff5" w:customStyle="1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styleId="1a" w:customStyle="1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link w:val="1b"/>
    <w:uiPriority w:val="20"/>
    <w:rPr>
      <w:i/>
      <w:iCs/>
    </w:rPr>
  </w:style>
  <w:style w:type="paragraph" w:styleId="1b" w:customStyle="1">
    <w:name w:val="Без интервала1"/>
    <w:link w:val="aff6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Calibri"/>
      <w:color w:val="auto"/>
      <w:sz w:val="22"/>
      <w:szCs w:val="22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amp;amp;amp;amp;q=%23%D0%A0%D0%BE%D1%81%D1%80%D0%B5%D0%B5%D1%81%D1%82%D1%80" TargetMode="External"/><Relationship Id="rId11" Type="http://schemas.openxmlformats.org/officeDocument/2006/relationships/hyperlink" Target="https://vk.com/feed?section=search&amp;amp;amp;amp;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haracters>2401</Characters>
  <CharactersWithSpaces>2817</CharactersWithSpaces>
  <Company>Hewlett-Packard Company</Company>
  <DocSecurity>0</DocSecurity>
  <HyperlinksChanged>false</HyperlinksChanged>
  <Lines>20</Lines>
  <LinksUpToDate>false</LinksUpToDate>
  <Pages>1</Pages>
  <Paragraphs>5</Paragraphs>
  <ScaleCrop>false</ScaleCrop>
  <SharedDoc>false</SharedDoc>
  <Template>Normal</Template>
  <TotalTime>0</TotalTime>
  <Words>421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</cp:revision>
  <dcterms:created xsi:type="dcterms:W3CDTF">2026-08-31T06:43:00Z</dcterms:created>
  <dcterms:modified xsi:type="dcterms:W3CDTF">2026-08-31T06:43:00Z</dcterms:modified>
</cp:coreProperties>
</file>